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A8" w:rsidRDefault="00CD1240">
      <w:bookmarkStart w:id="0" w:name="_GoBack"/>
      <w:bookmarkEnd w:id="0"/>
      <w:r>
        <w:t>Journée d’étude « catégories / catégorisation »</w:t>
      </w:r>
    </w:p>
    <w:p w:rsidR="0051673E" w:rsidRDefault="0051673E" w:rsidP="00133AA8">
      <w:pPr>
        <w:widowControl w:val="0"/>
        <w:autoSpaceDE w:val="0"/>
        <w:autoSpaceDN w:val="0"/>
        <w:adjustRightInd w:val="0"/>
        <w:ind w:right="57"/>
        <w:rPr>
          <w:rFonts w:ascii="Arial Narrow" w:hAnsi="Arial Narrow"/>
          <w:sz w:val="22"/>
        </w:rPr>
      </w:pPr>
    </w:p>
    <w:p w:rsidR="0051673E" w:rsidRPr="0051673E" w:rsidRDefault="0051673E" w:rsidP="00133AA8">
      <w:pPr>
        <w:widowControl w:val="0"/>
        <w:autoSpaceDE w:val="0"/>
        <w:autoSpaceDN w:val="0"/>
        <w:adjustRightInd w:val="0"/>
        <w:ind w:right="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Les concepts de </w:t>
      </w:r>
      <w:proofErr w:type="spellStart"/>
      <w:r w:rsidRPr="0051673E">
        <w:rPr>
          <w:rFonts w:ascii="Arial Narrow" w:hAnsi="Arial Narrow"/>
          <w:i/>
          <w:sz w:val="22"/>
        </w:rPr>
        <w:t>grammatisation</w:t>
      </w:r>
      <w:proofErr w:type="spellEnd"/>
      <w:r>
        <w:rPr>
          <w:rFonts w:ascii="Arial Narrow" w:hAnsi="Arial Narrow"/>
          <w:sz w:val="22"/>
        </w:rPr>
        <w:t xml:space="preserve"> et de </w:t>
      </w:r>
      <w:r w:rsidRPr="0051673E">
        <w:rPr>
          <w:rFonts w:ascii="Arial Narrow" w:hAnsi="Arial Narrow"/>
          <w:i/>
          <w:sz w:val="22"/>
        </w:rPr>
        <w:t>grammaire</w:t>
      </w:r>
      <w:r w:rsidR="0089227E">
        <w:rPr>
          <w:rFonts w:ascii="Arial Narrow" w:hAnsi="Arial Narrow"/>
          <w:sz w:val="22"/>
        </w:rPr>
        <w:t xml:space="preserve"> (latine)</w:t>
      </w:r>
      <w:r w:rsidRPr="0051673E">
        <w:rPr>
          <w:rFonts w:ascii="Arial Narrow" w:hAnsi="Arial Narrow"/>
          <w:i/>
          <w:sz w:val="22"/>
        </w:rPr>
        <w:t xml:space="preserve"> étendue</w:t>
      </w:r>
      <w:r>
        <w:rPr>
          <w:rFonts w:ascii="Arial Narrow" w:hAnsi="Arial Narrow"/>
          <w:sz w:val="22"/>
        </w:rPr>
        <w:t xml:space="preserve"> proposés par S. Auroux dans plusieurs de ses travaux </w:t>
      </w:r>
      <w:r w:rsidR="008C23EC">
        <w:rPr>
          <w:rFonts w:ascii="Arial Narrow" w:hAnsi="Arial Narrow"/>
          <w:sz w:val="22"/>
        </w:rPr>
        <w:t xml:space="preserve">peuvent être </w:t>
      </w:r>
      <w:r w:rsidR="0089227E">
        <w:rPr>
          <w:rFonts w:ascii="Arial Narrow" w:hAnsi="Arial Narrow"/>
          <w:sz w:val="22"/>
        </w:rPr>
        <w:t>compris dans</w:t>
      </w:r>
      <w:r w:rsidR="00FB2BCB">
        <w:rPr>
          <w:rFonts w:ascii="Arial Narrow" w:hAnsi="Arial Narrow"/>
          <w:sz w:val="22"/>
        </w:rPr>
        <w:t xml:space="preserve"> la perspective de ce que certains historiens </w:t>
      </w:r>
      <w:r w:rsidR="0089227E">
        <w:rPr>
          <w:rFonts w:ascii="Arial Narrow" w:hAnsi="Arial Narrow"/>
          <w:sz w:val="22"/>
        </w:rPr>
        <w:t>appellent désormais</w:t>
      </w:r>
      <w:r w:rsidR="00FB2BCB">
        <w:rPr>
          <w:rFonts w:ascii="Arial Narrow" w:hAnsi="Arial Narrow"/>
          <w:sz w:val="22"/>
        </w:rPr>
        <w:t xml:space="preserve"> histoire connectée (</w:t>
      </w:r>
      <w:proofErr w:type="spellStart"/>
      <w:r w:rsidR="00FB2BCB">
        <w:rPr>
          <w:rFonts w:ascii="Arial Narrow" w:hAnsi="Arial Narrow"/>
          <w:sz w:val="22"/>
        </w:rPr>
        <w:t>connected</w:t>
      </w:r>
      <w:proofErr w:type="spellEnd"/>
      <w:r w:rsidR="00FB2BCB">
        <w:rPr>
          <w:rFonts w:ascii="Arial Narrow" w:hAnsi="Arial Narrow"/>
          <w:sz w:val="22"/>
        </w:rPr>
        <w:t xml:space="preserve"> </w:t>
      </w:r>
      <w:proofErr w:type="spellStart"/>
      <w:r w:rsidR="00FB2BCB">
        <w:rPr>
          <w:rFonts w:ascii="Arial Narrow" w:hAnsi="Arial Narrow"/>
          <w:sz w:val="22"/>
        </w:rPr>
        <w:t>history</w:t>
      </w:r>
      <w:proofErr w:type="spellEnd"/>
      <w:r w:rsidR="00FB2BCB">
        <w:rPr>
          <w:rFonts w:ascii="Arial Narrow" w:hAnsi="Arial Narrow"/>
          <w:sz w:val="22"/>
        </w:rPr>
        <w:t xml:space="preserve">), </w:t>
      </w:r>
      <w:r w:rsidR="0089227E">
        <w:rPr>
          <w:rFonts w:ascii="Arial Narrow" w:hAnsi="Arial Narrow"/>
          <w:sz w:val="22"/>
        </w:rPr>
        <w:t>en proposant</w:t>
      </w:r>
      <w:r w:rsidR="00FB2BCB">
        <w:rPr>
          <w:rFonts w:ascii="Arial Narrow" w:hAnsi="Arial Narrow"/>
          <w:sz w:val="22"/>
        </w:rPr>
        <w:t xml:space="preserve"> un élargissement de l’échelle historiographique a</w:t>
      </w:r>
      <w:r w:rsidR="0089227E">
        <w:rPr>
          <w:rFonts w:ascii="Arial Narrow" w:hAnsi="Arial Narrow"/>
          <w:sz w:val="22"/>
        </w:rPr>
        <w:t>u delà des « récits » nationaux</w:t>
      </w:r>
      <w:r w:rsidR="00FB2BCB">
        <w:rPr>
          <w:rFonts w:ascii="Arial Narrow" w:hAnsi="Arial Narrow"/>
          <w:sz w:val="22"/>
        </w:rPr>
        <w:t xml:space="preserve"> permettant de porter une attention particulière </w:t>
      </w:r>
      <w:r w:rsidR="0089227E">
        <w:rPr>
          <w:rFonts w:ascii="Arial Narrow" w:hAnsi="Arial Narrow"/>
          <w:sz w:val="22"/>
        </w:rPr>
        <w:t>aux phénomènes</w:t>
      </w:r>
      <w:r w:rsidR="00CD1240">
        <w:rPr>
          <w:rFonts w:ascii="Arial Narrow" w:hAnsi="Arial Narrow"/>
          <w:sz w:val="22"/>
        </w:rPr>
        <w:t xml:space="preserve"> de circulation et de transferts</w:t>
      </w:r>
      <w:r w:rsidR="0089227E">
        <w:rPr>
          <w:rFonts w:ascii="Arial Narrow" w:hAnsi="Arial Narrow"/>
          <w:sz w:val="22"/>
        </w:rPr>
        <w:t xml:space="preserve"> transnationaux </w:t>
      </w:r>
      <w:r w:rsidR="00FB2BCB">
        <w:rPr>
          <w:rFonts w:ascii="Arial Narrow" w:hAnsi="Arial Narrow"/>
          <w:sz w:val="22"/>
        </w:rPr>
        <w:t>et aux connexions.</w:t>
      </w:r>
    </w:p>
    <w:p w:rsidR="00133AA8" w:rsidRDefault="00133AA8" w:rsidP="008C23EC">
      <w:pPr>
        <w:widowControl w:val="0"/>
        <w:autoSpaceDE w:val="0"/>
        <w:autoSpaceDN w:val="0"/>
        <w:adjustRightInd w:val="0"/>
        <w:ind w:right="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On peut envisager de mettre </w:t>
      </w:r>
      <w:r w:rsidR="0089227E">
        <w:rPr>
          <w:rFonts w:ascii="Arial Narrow" w:hAnsi="Arial Narrow"/>
          <w:sz w:val="22"/>
        </w:rPr>
        <w:t xml:space="preserve">ces concepts </w:t>
      </w:r>
      <w:r>
        <w:rPr>
          <w:rFonts w:ascii="Arial Narrow" w:hAnsi="Arial Narrow"/>
          <w:sz w:val="22"/>
        </w:rPr>
        <w:t xml:space="preserve">en œuvre par une pratique systématique de la comparaison dans une perspective </w:t>
      </w:r>
      <w:proofErr w:type="spellStart"/>
      <w:r>
        <w:rPr>
          <w:rFonts w:ascii="Arial Narrow" w:hAnsi="Arial Narrow"/>
          <w:sz w:val="22"/>
        </w:rPr>
        <w:t>aréale</w:t>
      </w:r>
      <w:proofErr w:type="spellEnd"/>
      <w:r>
        <w:rPr>
          <w:rFonts w:ascii="Arial Narrow" w:hAnsi="Arial Narrow"/>
          <w:sz w:val="22"/>
        </w:rPr>
        <w:t xml:space="preserve"> donnée</w:t>
      </w:r>
      <w:r w:rsidR="00FB2BCB">
        <w:rPr>
          <w:rFonts w:ascii="Arial Narrow" w:hAnsi="Arial Narrow"/>
          <w:sz w:val="22"/>
        </w:rPr>
        <w:t xml:space="preserve">, et </w:t>
      </w:r>
      <w:r>
        <w:rPr>
          <w:rFonts w:ascii="Arial Narrow" w:hAnsi="Arial Narrow"/>
          <w:sz w:val="22"/>
        </w:rPr>
        <w:t xml:space="preserve">d’envisager l’élargissement de l’échelle historiographique au niveau moyen d’un groupe </w:t>
      </w:r>
      <w:r w:rsidR="0089227E">
        <w:rPr>
          <w:rFonts w:ascii="Arial Narrow" w:hAnsi="Arial Narrow"/>
          <w:sz w:val="22"/>
        </w:rPr>
        <w:t xml:space="preserve">de langues apparentées </w:t>
      </w:r>
      <w:r>
        <w:rPr>
          <w:rFonts w:ascii="Arial Narrow" w:hAnsi="Arial Narrow"/>
          <w:sz w:val="22"/>
        </w:rPr>
        <w:t xml:space="preserve">au sein duquel on observera comment, sur des phénomènes </w:t>
      </w:r>
      <w:r w:rsidR="0089227E">
        <w:rPr>
          <w:rFonts w:ascii="Arial Narrow" w:hAnsi="Arial Narrow"/>
          <w:sz w:val="22"/>
        </w:rPr>
        <w:t>dont</w:t>
      </w:r>
      <w:r>
        <w:rPr>
          <w:rFonts w:ascii="Arial Narrow" w:hAnsi="Arial Narrow"/>
          <w:sz w:val="22"/>
        </w:rPr>
        <w:t xml:space="preserve"> </w:t>
      </w:r>
      <w:r w:rsidR="0089227E">
        <w:rPr>
          <w:rFonts w:ascii="Arial Narrow" w:hAnsi="Arial Narrow"/>
          <w:sz w:val="22"/>
        </w:rPr>
        <w:t>l’</w:t>
      </w:r>
      <w:r>
        <w:rPr>
          <w:rFonts w:ascii="Arial Narrow" w:hAnsi="Arial Narrow"/>
          <w:sz w:val="22"/>
        </w:rPr>
        <w:t xml:space="preserve">origine </w:t>
      </w:r>
      <w:r w:rsidR="0089227E">
        <w:rPr>
          <w:rFonts w:ascii="Arial Narrow" w:hAnsi="Arial Narrow"/>
          <w:sz w:val="22"/>
        </w:rPr>
        <w:t xml:space="preserve">est </w:t>
      </w:r>
      <w:r>
        <w:rPr>
          <w:rFonts w:ascii="Arial Narrow" w:hAnsi="Arial Narrow"/>
          <w:sz w:val="22"/>
        </w:rPr>
        <w:t>commune, à l’aide d’un outillage initialement homogène (la grammaire latine), s’élaborent des stratégies descriptives (ou codificatrices) cohérentes, parfois différentes, souvent corrélées</w:t>
      </w:r>
      <w:r w:rsidRPr="005D3278">
        <w:rPr>
          <w:rFonts w:ascii="Arial Narrow" w:hAnsi="Arial Narrow"/>
          <w:sz w:val="22"/>
        </w:rPr>
        <w:t>. L’objectif est</w:t>
      </w:r>
      <w:r w:rsidR="008C23EC">
        <w:rPr>
          <w:rFonts w:ascii="Arial Narrow" w:hAnsi="Arial Narrow"/>
          <w:sz w:val="22"/>
        </w:rPr>
        <w:t xml:space="preserve"> ainsi</w:t>
      </w:r>
      <w:r w:rsidR="00CD1240">
        <w:rPr>
          <w:rFonts w:ascii="Arial Narrow" w:hAnsi="Arial Narrow"/>
          <w:sz w:val="22"/>
        </w:rPr>
        <w:t xml:space="preserve"> d’identifier </w:t>
      </w:r>
      <w:r w:rsidRPr="005D3278">
        <w:rPr>
          <w:rFonts w:ascii="Arial Narrow" w:hAnsi="Arial Narrow"/>
          <w:sz w:val="22"/>
        </w:rPr>
        <w:t>les phénomènes de transfert et de circulation</w:t>
      </w:r>
      <w:r w:rsidR="00CD1240">
        <w:rPr>
          <w:rFonts w:ascii="Arial Narrow" w:hAnsi="Arial Narrow"/>
          <w:sz w:val="22"/>
        </w:rPr>
        <w:t>, notamment catégoriels,</w:t>
      </w:r>
      <w:r w:rsidRPr="005D3278">
        <w:rPr>
          <w:rFonts w:ascii="Arial Narrow" w:hAnsi="Arial Narrow"/>
          <w:sz w:val="22"/>
        </w:rPr>
        <w:t xml:space="preserve"> qui certes ne se limitent pas aux seules </w:t>
      </w:r>
      <w:r>
        <w:rPr>
          <w:rFonts w:ascii="Arial Narrow" w:hAnsi="Arial Narrow"/>
          <w:sz w:val="22"/>
        </w:rPr>
        <w:t>traditions</w:t>
      </w:r>
      <w:r w:rsidRPr="005D3278">
        <w:rPr>
          <w:rFonts w:ascii="Arial Narrow" w:hAnsi="Arial Narrow"/>
          <w:sz w:val="22"/>
        </w:rPr>
        <w:t xml:space="preserve"> romanes, mais </w:t>
      </w:r>
      <w:r w:rsidR="00244D78">
        <w:rPr>
          <w:rFonts w:ascii="Arial Narrow" w:hAnsi="Arial Narrow"/>
          <w:sz w:val="22"/>
        </w:rPr>
        <w:t xml:space="preserve">dans ce cas, </w:t>
      </w:r>
      <w:r w:rsidRPr="005D3278">
        <w:rPr>
          <w:rFonts w:ascii="Arial Narrow" w:hAnsi="Arial Narrow"/>
          <w:sz w:val="22"/>
        </w:rPr>
        <w:t xml:space="preserve">l’apparentement des faits de langues, leur grande proximité sur le plan typologique, leur origine latine commune, rend particulièrement pertinent leur rapprochement systématique. </w:t>
      </w:r>
    </w:p>
    <w:p w:rsidR="00CD1240" w:rsidRDefault="00CD124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L’exposé propose</w:t>
      </w:r>
      <w:r w:rsidR="0089227E">
        <w:rPr>
          <w:rFonts w:ascii="Arial Narrow" w:hAnsi="Arial Narrow"/>
          <w:sz w:val="22"/>
        </w:rPr>
        <w:t xml:space="preserve"> à titre</w:t>
      </w:r>
      <w:r w:rsidR="00133AA8" w:rsidRPr="005D3278">
        <w:rPr>
          <w:rFonts w:ascii="Arial Narrow" w:hAnsi="Arial Narrow"/>
          <w:sz w:val="22"/>
        </w:rPr>
        <w:t xml:space="preserve"> </w:t>
      </w:r>
      <w:r w:rsidR="00133AA8">
        <w:rPr>
          <w:rFonts w:ascii="Arial Narrow" w:hAnsi="Arial Narrow"/>
          <w:sz w:val="22"/>
        </w:rPr>
        <w:t>d’</w:t>
      </w:r>
      <w:r w:rsidR="00133AA8" w:rsidRPr="005D3278">
        <w:rPr>
          <w:rFonts w:ascii="Arial Narrow" w:hAnsi="Arial Narrow"/>
          <w:sz w:val="22"/>
        </w:rPr>
        <w:t>exemple</w:t>
      </w:r>
      <w:r w:rsidR="0089227E">
        <w:rPr>
          <w:rFonts w:ascii="Arial Narrow" w:hAnsi="Arial Narrow"/>
          <w:sz w:val="22"/>
        </w:rPr>
        <w:t xml:space="preserve"> l’étude détaillée, dans un corpus large de gramma</w:t>
      </w:r>
      <w:r w:rsidR="00244D78">
        <w:rPr>
          <w:rFonts w:ascii="Arial Narrow" w:hAnsi="Arial Narrow"/>
          <w:sz w:val="22"/>
        </w:rPr>
        <w:t>ires italiennes, espagnoles, por</w:t>
      </w:r>
      <w:r w:rsidR="0089227E">
        <w:rPr>
          <w:rFonts w:ascii="Arial Narrow" w:hAnsi="Arial Narrow"/>
          <w:sz w:val="22"/>
        </w:rPr>
        <w:t>tugaises et française</w:t>
      </w:r>
      <w:r w:rsidR="00244D78">
        <w:rPr>
          <w:rFonts w:ascii="Arial Narrow" w:hAnsi="Arial Narrow"/>
          <w:sz w:val="22"/>
        </w:rPr>
        <w:t>s,</w:t>
      </w:r>
      <w:r w:rsidR="00133AA8" w:rsidRPr="005D3278">
        <w:rPr>
          <w:rFonts w:ascii="Arial Narrow" w:hAnsi="Arial Narrow"/>
          <w:sz w:val="22"/>
        </w:rPr>
        <w:t xml:space="preserve"> </w:t>
      </w:r>
      <w:r w:rsidR="0089227E">
        <w:rPr>
          <w:rFonts w:ascii="Arial Narrow" w:hAnsi="Arial Narrow"/>
          <w:sz w:val="22"/>
        </w:rPr>
        <w:t>de</w:t>
      </w:r>
      <w:r w:rsidR="00133AA8" w:rsidRPr="005D3278">
        <w:rPr>
          <w:rFonts w:ascii="Arial Narrow" w:hAnsi="Arial Narrow"/>
          <w:sz w:val="22"/>
        </w:rPr>
        <w:t xml:space="preserve"> la question que nous </w:t>
      </w:r>
      <w:r w:rsidR="00133AA8" w:rsidRPr="0089227E">
        <w:rPr>
          <w:rFonts w:ascii="Arial Narrow" w:hAnsi="Arial Narrow"/>
          <w:i/>
          <w:sz w:val="22"/>
        </w:rPr>
        <w:t>traduirions</w:t>
      </w:r>
      <w:r w:rsidR="00133AA8" w:rsidRPr="005D3278">
        <w:rPr>
          <w:rFonts w:ascii="Arial Narrow" w:hAnsi="Arial Narrow"/>
          <w:sz w:val="22"/>
        </w:rPr>
        <w:t xml:space="preserve"> dans un métalangage contemporain comme celui de la détermination partitive. </w:t>
      </w:r>
      <w:proofErr w:type="spellStart"/>
      <w:r w:rsidR="00133AA8" w:rsidRPr="005D3278">
        <w:rPr>
          <w:rFonts w:ascii="Arial Narrow" w:hAnsi="Arial Narrow"/>
          <w:sz w:val="22"/>
        </w:rPr>
        <w:t>Nebrija</w:t>
      </w:r>
      <w:proofErr w:type="spellEnd"/>
      <w:r w:rsidR="00244D78">
        <w:rPr>
          <w:rFonts w:ascii="Arial Narrow" w:hAnsi="Arial Narrow"/>
          <w:sz w:val="22"/>
        </w:rPr>
        <w:t xml:space="preserve"> (1492)</w:t>
      </w:r>
      <w:r w:rsidR="00133AA8" w:rsidRPr="005D3278">
        <w:rPr>
          <w:rFonts w:ascii="Arial Narrow" w:hAnsi="Arial Narrow"/>
          <w:sz w:val="22"/>
        </w:rPr>
        <w:t xml:space="preserve"> observe que certains noms n’ont pas de pluriel</w:t>
      </w:r>
      <w:r w:rsidR="00133AA8">
        <w:rPr>
          <w:rFonts w:ascii="Arial Narrow" w:hAnsi="Arial Narrow"/>
          <w:sz w:val="22"/>
        </w:rPr>
        <w:t>,</w:t>
      </w:r>
      <w:r w:rsidR="00133AA8" w:rsidRPr="005D3278">
        <w:rPr>
          <w:rFonts w:ascii="Arial Narrow" w:hAnsi="Arial Narrow"/>
          <w:sz w:val="22"/>
        </w:rPr>
        <w:t xml:space="preserve"> en particulier les noms de « choses humides » et de « choses sèches qui se mesurent et se pèsent ». Il consacre ainsi un chapitre entier de sa grammaire (le septième) à l’ensemble des anomalies dans la catégorie du nombre des noms. </w:t>
      </w:r>
      <w:proofErr w:type="spellStart"/>
      <w:r w:rsidR="00133AA8" w:rsidRPr="005D3278">
        <w:rPr>
          <w:rFonts w:ascii="Arial Narrow" w:hAnsi="Arial Narrow"/>
          <w:sz w:val="22"/>
        </w:rPr>
        <w:t>Barros</w:t>
      </w:r>
      <w:proofErr w:type="spellEnd"/>
      <w:r w:rsidR="00133AA8" w:rsidRPr="005D3278">
        <w:rPr>
          <w:rFonts w:ascii="Arial Narrow" w:hAnsi="Arial Narrow"/>
          <w:sz w:val="22"/>
        </w:rPr>
        <w:t xml:space="preserve"> dans sa grammaire du portugais de 1540 reprend la même formule, et on trouve des remarques du même ordre chez de nombreux grammairiens français comme </w:t>
      </w:r>
      <w:proofErr w:type="spellStart"/>
      <w:r w:rsidR="00133AA8" w:rsidRPr="005D3278">
        <w:rPr>
          <w:rFonts w:ascii="Arial Narrow" w:hAnsi="Arial Narrow"/>
          <w:sz w:val="22"/>
        </w:rPr>
        <w:t>Meigret</w:t>
      </w:r>
      <w:proofErr w:type="spellEnd"/>
      <w:r w:rsidR="00133AA8" w:rsidRPr="005D3278">
        <w:rPr>
          <w:rFonts w:ascii="Arial Narrow" w:hAnsi="Arial Narrow"/>
          <w:sz w:val="22"/>
        </w:rPr>
        <w:t xml:space="preserve"> (1550), Robert Etienne (1569)</w:t>
      </w:r>
      <w:r w:rsidR="00133AA8">
        <w:rPr>
          <w:rFonts w:ascii="Arial Narrow" w:hAnsi="Arial Narrow"/>
          <w:sz w:val="22"/>
        </w:rPr>
        <w:t>. D</w:t>
      </w:r>
      <w:r w:rsidR="00133AA8" w:rsidRPr="005D3278">
        <w:rPr>
          <w:rFonts w:ascii="Arial Narrow" w:hAnsi="Arial Narrow"/>
          <w:sz w:val="22"/>
        </w:rPr>
        <w:t xml:space="preserve">e nombreux auteurs </w:t>
      </w:r>
      <w:r w:rsidR="00133AA8">
        <w:rPr>
          <w:rFonts w:ascii="Arial Narrow" w:hAnsi="Arial Narrow"/>
          <w:sz w:val="22"/>
        </w:rPr>
        <w:t>jusqu’au</w:t>
      </w:r>
      <w:r w:rsidR="00133AA8" w:rsidRPr="005D3278">
        <w:rPr>
          <w:rFonts w:ascii="Arial Narrow" w:hAnsi="Arial Narrow"/>
          <w:sz w:val="22"/>
        </w:rPr>
        <w:t xml:space="preserve"> siècle </w:t>
      </w:r>
      <w:r w:rsidR="00133AA8">
        <w:rPr>
          <w:rFonts w:ascii="Arial Narrow" w:hAnsi="Arial Narrow"/>
          <w:sz w:val="22"/>
        </w:rPr>
        <w:t>puis au 18</w:t>
      </w:r>
      <w:r w:rsidR="00133AA8" w:rsidRPr="003927F7">
        <w:rPr>
          <w:rFonts w:ascii="Arial Narrow" w:hAnsi="Arial Narrow"/>
          <w:sz w:val="22"/>
          <w:vertAlign w:val="superscript"/>
        </w:rPr>
        <w:t>e</w:t>
      </w:r>
      <w:r w:rsidR="00133AA8">
        <w:rPr>
          <w:rFonts w:ascii="Arial Narrow" w:hAnsi="Arial Narrow"/>
          <w:sz w:val="22"/>
        </w:rPr>
        <w:t xml:space="preserve"> siècle</w:t>
      </w:r>
      <w:r w:rsidR="00133AA8" w:rsidRPr="005D3278">
        <w:rPr>
          <w:rFonts w:ascii="Arial Narrow" w:hAnsi="Arial Narrow"/>
          <w:sz w:val="22"/>
        </w:rPr>
        <w:t xml:space="preserve">, y compris les </w:t>
      </w:r>
      <w:r w:rsidR="00133AA8">
        <w:rPr>
          <w:rFonts w:ascii="Arial Narrow" w:hAnsi="Arial Narrow"/>
          <w:sz w:val="22"/>
        </w:rPr>
        <w:t>Messieurs</w:t>
      </w:r>
      <w:r w:rsidR="00133AA8" w:rsidRPr="005D3278">
        <w:rPr>
          <w:rFonts w:ascii="Arial Narrow" w:hAnsi="Arial Narrow"/>
          <w:sz w:val="22"/>
        </w:rPr>
        <w:t xml:space="preserve"> de Port-Royal</w:t>
      </w:r>
      <w:r w:rsidR="00133AA8">
        <w:rPr>
          <w:rFonts w:ascii="Arial Narrow" w:hAnsi="Arial Narrow"/>
          <w:sz w:val="22"/>
        </w:rPr>
        <w:t>,</w:t>
      </w:r>
      <w:r w:rsidR="00133AA8" w:rsidRPr="005D3278">
        <w:rPr>
          <w:rFonts w:ascii="Arial Narrow" w:hAnsi="Arial Narrow"/>
          <w:sz w:val="22"/>
        </w:rPr>
        <w:t xml:space="preserve"> </w:t>
      </w:r>
      <w:r w:rsidR="00133AA8">
        <w:rPr>
          <w:rFonts w:ascii="Arial Narrow" w:hAnsi="Arial Narrow"/>
          <w:sz w:val="22"/>
        </w:rPr>
        <w:t>traiteront</w:t>
      </w:r>
      <w:r w:rsidR="00133AA8" w:rsidRPr="005D3278">
        <w:rPr>
          <w:rFonts w:ascii="Arial Narrow" w:hAnsi="Arial Narrow"/>
          <w:sz w:val="22"/>
        </w:rPr>
        <w:t xml:space="preserve"> la question comme une anomalie dans la catégorie du nombre</w:t>
      </w:r>
      <w:r w:rsidR="00244D78">
        <w:rPr>
          <w:rFonts w:ascii="Arial Narrow" w:hAnsi="Arial Narrow"/>
          <w:sz w:val="22"/>
        </w:rPr>
        <w:t xml:space="preserve"> en soulignant que </w:t>
      </w:r>
      <w:r w:rsidR="00244D78" w:rsidRPr="00244D78">
        <w:rPr>
          <w:rFonts w:ascii="Arial Narrow" w:hAnsi="Arial Narrow"/>
          <w:i/>
          <w:sz w:val="22"/>
        </w:rPr>
        <w:t>les noms de métaux n’ont pas de pluriel</w:t>
      </w:r>
      <w:r w:rsidR="00133AA8">
        <w:rPr>
          <w:rFonts w:ascii="Arial Narrow" w:hAnsi="Arial Narrow"/>
          <w:sz w:val="22"/>
        </w:rPr>
        <w:t>,</w:t>
      </w:r>
      <w:r>
        <w:rPr>
          <w:rFonts w:ascii="Arial Narrow" w:hAnsi="Arial Narrow"/>
          <w:sz w:val="22"/>
        </w:rPr>
        <w:t xml:space="preserve"> tandis que d’autres</w:t>
      </w:r>
      <w:r w:rsidR="00133AA8">
        <w:rPr>
          <w:rFonts w:ascii="Arial Narrow" w:hAnsi="Arial Narrow"/>
          <w:sz w:val="22"/>
        </w:rPr>
        <w:t>,</w:t>
      </w:r>
      <w:r w:rsidR="00133AA8" w:rsidRPr="005D3278">
        <w:rPr>
          <w:rFonts w:ascii="Arial Narrow" w:hAnsi="Arial Narrow"/>
          <w:sz w:val="22"/>
        </w:rPr>
        <w:t xml:space="preserve"> comme</w:t>
      </w:r>
      <w:r>
        <w:rPr>
          <w:rFonts w:ascii="Arial Narrow" w:hAnsi="Arial Narrow"/>
          <w:sz w:val="22"/>
        </w:rPr>
        <w:t xml:space="preserve"> Corso (1550), </w:t>
      </w:r>
      <w:proofErr w:type="spellStart"/>
      <w:r>
        <w:rPr>
          <w:rFonts w:ascii="Arial Narrow" w:hAnsi="Arial Narrow"/>
          <w:sz w:val="22"/>
        </w:rPr>
        <w:t>Ruscelli</w:t>
      </w:r>
      <w:proofErr w:type="spellEnd"/>
      <w:r>
        <w:rPr>
          <w:rFonts w:ascii="Arial Narrow" w:hAnsi="Arial Narrow"/>
          <w:sz w:val="22"/>
        </w:rPr>
        <w:t xml:space="preserve"> (1581) et </w:t>
      </w:r>
      <w:proofErr w:type="spellStart"/>
      <w:r>
        <w:rPr>
          <w:rFonts w:ascii="Arial Narrow" w:hAnsi="Arial Narrow"/>
          <w:sz w:val="22"/>
        </w:rPr>
        <w:t>Buonmattei</w:t>
      </w:r>
      <w:proofErr w:type="spellEnd"/>
      <w:r>
        <w:rPr>
          <w:rFonts w:ascii="Arial Narrow" w:hAnsi="Arial Narrow"/>
          <w:sz w:val="22"/>
        </w:rPr>
        <w:t xml:space="preserve"> (1623) en Italie, ou</w:t>
      </w:r>
      <w:r w:rsidR="00133AA8" w:rsidRPr="005D3278">
        <w:rPr>
          <w:rFonts w:ascii="Arial Narrow" w:hAnsi="Arial Narrow"/>
          <w:sz w:val="22"/>
        </w:rPr>
        <w:t xml:space="preserve"> Maupas</w:t>
      </w:r>
      <w:r>
        <w:rPr>
          <w:rFonts w:ascii="Arial Narrow" w:hAnsi="Arial Narrow"/>
          <w:sz w:val="22"/>
        </w:rPr>
        <w:t xml:space="preserve"> (1607)</w:t>
      </w:r>
      <w:r w:rsidR="00133AA8" w:rsidRPr="005D3278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en France</w:t>
      </w:r>
      <w:r w:rsidR="00133AA8" w:rsidRPr="005D3278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identifient une nouvelle catégorie de l’article</w:t>
      </w:r>
      <w:r w:rsidR="00133AA8" w:rsidRPr="005D3278">
        <w:rPr>
          <w:rFonts w:ascii="Arial Narrow" w:hAnsi="Arial Narrow"/>
          <w:sz w:val="22"/>
        </w:rPr>
        <w:t>.</w:t>
      </w:r>
    </w:p>
    <w:p w:rsidR="00CD1240" w:rsidRDefault="00CD1240">
      <w:pPr>
        <w:rPr>
          <w:rFonts w:ascii="Arial Narrow" w:hAnsi="Arial Narrow"/>
          <w:sz w:val="22"/>
        </w:rPr>
      </w:pPr>
    </w:p>
    <w:p w:rsidR="00CD1240" w:rsidRDefault="00CD124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Jean-Marie Fournier</w:t>
      </w:r>
    </w:p>
    <w:p w:rsidR="00133AA8" w:rsidRDefault="00CD1240">
      <w:r>
        <w:rPr>
          <w:rFonts w:ascii="Arial Narrow" w:hAnsi="Arial Narrow"/>
          <w:sz w:val="22"/>
        </w:rPr>
        <w:t>UMR 7597 Histoire des théories linguistiques</w:t>
      </w:r>
    </w:p>
    <w:sectPr w:rsidR="00133AA8" w:rsidSect="00133AA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A8"/>
    <w:rsid w:val="0008712B"/>
    <w:rsid w:val="001151C3"/>
    <w:rsid w:val="00133AA8"/>
    <w:rsid w:val="00244D78"/>
    <w:rsid w:val="004504F9"/>
    <w:rsid w:val="0051673E"/>
    <w:rsid w:val="007D3451"/>
    <w:rsid w:val="0089227E"/>
    <w:rsid w:val="008C23EC"/>
    <w:rsid w:val="00CD1240"/>
    <w:rsid w:val="00FB2B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9D"/>
    <w:pPr>
      <w:jc w:val="both"/>
    </w:pPr>
    <w:rPr>
      <w:rFonts w:ascii="Times" w:hAnsi="Tim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133AA8"/>
    <w:rPr>
      <w:rFonts w:ascii="Arial Narrow" w:eastAsiaTheme="minorEastAsia" w:hAnsi="Arial Narrow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33AA8"/>
    <w:rPr>
      <w:rFonts w:ascii="Arial Narrow" w:eastAsiaTheme="minorEastAsia" w:hAnsi="Arial Narrow"/>
      <w:sz w:val="20"/>
      <w:lang w:eastAsia="fr-FR"/>
    </w:rPr>
  </w:style>
  <w:style w:type="character" w:styleId="Appelnotedebasdep">
    <w:name w:val="footnote reference"/>
    <w:rsid w:val="00133AA8"/>
    <w:rPr>
      <w:vertAlign w:val="superscript"/>
    </w:rPr>
  </w:style>
  <w:style w:type="character" w:styleId="Accentuation">
    <w:name w:val="Emphasis"/>
    <w:uiPriority w:val="20"/>
    <w:qFormat/>
    <w:rsid w:val="00133AA8"/>
    <w:rPr>
      <w:i/>
      <w:iCs/>
    </w:rPr>
  </w:style>
  <w:style w:type="character" w:styleId="lev">
    <w:name w:val="Strong"/>
    <w:basedOn w:val="Policepardfaut"/>
    <w:uiPriority w:val="22"/>
    <w:rsid w:val="00133AA8"/>
    <w:rPr>
      <w:b/>
    </w:rPr>
  </w:style>
  <w:style w:type="character" w:customStyle="1" w:styleId="familyname">
    <w:name w:val="familyname"/>
    <w:basedOn w:val="Policepardfaut"/>
    <w:rsid w:val="00133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9D"/>
    <w:pPr>
      <w:jc w:val="both"/>
    </w:pPr>
    <w:rPr>
      <w:rFonts w:ascii="Times" w:hAnsi="Tim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133AA8"/>
    <w:rPr>
      <w:rFonts w:ascii="Arial Narrow" w:eastAsiaTheme="minorEastAsia" w:hAnsi="Arial Narrow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33AA8"/>
    <w:rPr>
      <w:rFonts w:ascii="Arial Narrow" w:eastAsiaTheme="minorEastAsia" w:hAnsi="Arial Narrow"/>
      <w:sz w:val="20"/>
      <w:lang w:eastAsia="fr-FR"/>
    </w:rPr>
  </w:style>
  <w:style w:type="character" w:styleId="Appelnotedebasdep">
    <w:name w:val="footnote reference"/>
    <w:rsid w:val="00133AA8"/>
    <w:rPr>
      <w:vertAlign w:val="superscript"/>
    </w:rPr>
  </w:style>
  <w:style w:type="character" w:styleId="Accentuation">
    <w:name w:val="Emphasis"/>
    <w:uiPriority w:val="20"/>
    <w:qFormat/>
    <w:rsid w:val="00133AA8"/>
    <w:rPr>
      <w:i/>
      <w:iCs/>
    </w:rPr>
  </w:style>
  <w:style w:type="character" w:styleId="lev">
    <w:name w:val="Strong"/>
    <w:basedOn w:val="Policepardfaut"/>
    <w:uiPriority w:val="22"/>
    <w:rsid w:val="00133AA8"/>
    <w:rPr>
      <w:b/>
    </w:rPr>
  </w:style>
  <w:style w:type="character" w:customStyle="1" w:styleId="familyname">
    <w:name w:val="familyname"/>
    <w:basedOn w:val="Policepardfaut"/>
    <w:rsid w:val="0013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Fournier</dc:creator>
  <cp:lastModifiedBy>Eric Corre</cp:lastModifiedBy>
  <cp:revision>2</cp:revision>
  <dcterms:created xsi:type="dcterms:W3CDTF">2017-10-03T14:01:00Z</dcterms:created>
  <dcterms:modified xsi:type="dcterms:W3CDTF">2017-10-03T14:01:00Z</dcterms:modified>
</cp:coreProperties>
</file>